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D4" w:rsidRPr="00063DAB" w:rsidRDefault="004D7590" w:rsidP="004D75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63DAB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4D7590" w:rsidRPr="00063DAB" w:rsidRDefault="004D7590" w:rsidP="004D75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Територіальний базовий фаховий коледж</w:t>
      </w:r>
    </w:p>
    <w:p w:rsidR="004D7590" w:rsidRPr="00063DAB" w:rsidRDefault="004D7590" w:rsidP="004D75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 «Краматорський фаховий коледж промисловості, інформаційних технологій та бізнесу</w:t>
      </w:r>
    </w:p>
    <w:p w:rsidR="004D7590" w:rsidRPr="00063DAB" w:rsidRDefault="004D7590" w:rsidP="004D75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Донбаської державної машинобудівної академії»</w:t>
      </w:r>
    </w:p>
    <w:p w:rsidR="004D7590" w:rsidRPr="00063DAB" w:rsidRDefault="004D7590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7590" w:rsidRPr="00063DAB" w:rsidRDefault="004D7590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7590" w:rsidRPr="00063DAB" w:rsidRDefault="004D7590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7590" w:rsidRPr="00063DAB" w:rsidRDefault="004D7590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7590" w:rsidRDefault="004D7590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Pr="00063DAB" w:rsidRDefault="007520C6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7590" w:rsidRPr="00063DAB" w:rsidRDefault="004D7590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7590" w:rsidRPr="00063DAB" w:rsidRDefault="004D7590" w:rsidP="004D7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4D7590" w:rsidRPr="00063DAB" w:rsidRDefault="004D7590" w:rsidP="004D75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про Регіон</w:t>
      </w:r>
      <w:r w:rsidR="008E0CB8">
        <w:rPr>
          <w:rFonts w:ascii="Times New Roman" w:hAnsi="Times New Roman" w:cs="Times New Roman"/>
          <w:sz w:val="28"/>
          <w:szCs w:val="28"/>
          <w:lang w:val="uk-UA"/>
        </w:rPr>
        <w:t>альну олімпіаду з «Будівельних дисциплін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D7590" w:rsidRPr="00063DAB" w:rsidRDefault="004D7590" w:rsidP="004D75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серед студентів закладів фахової передвищої освіти</w:t>
      </w:r>
    </w:p>
    <w:p w:rsidR="004D7590" w:rsidRPr="00063DAB" w:rsidRDefault="00E36800" w:rsidP="004D75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Краматорсько-Слов’янського регіону </w:t>
      </w:r>
      <w:r w:rsidR="004D7590" w:rsidRPr="00063DAB">
        <w:rPr>
          <w:rFonts w:ascii="Times New Roman" w:hAnsi="Times New Roman" w:cs="Times New Roman"/>
          <w:sz w:val="28"/>
          <w:szCs w:val="28"/>
          <w:lang w:val="uk-UA"/>
        </w:rPr>
        <w:t>Донецької області</w:t>
      </w:r>
    </w:p>
    <w:p w:rsidR="004D7590" w:rsidRPr="00063DAB" w:rsidRDefault="004D7590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7590" w:rsidRPr="00063DAB" w:rsidRDefault="004D7590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7590" w:rsidRPr="00063DAB" w:rsidRDefault="004D7590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7590" w:rsidRPr="00063DAB" w:rsidRDefault="004D7590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7590" w:rsidRPr="00063DAB" w:rsidRDefault="004D7590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7590" w:rsidRDefault="004D7590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Pr="00063DAB" w:rsidRDefault="007520C6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7590" w:rsidRPr="00063DAB" w:rsidRDefault="004D7590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E0CB8" w:rsidRDefault="008E0CB8" w:rsidP="004D75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0CB8" w:rsidRDefault="008E0CB8" w:rsidP="004D75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7590" w:rsidRPr="00063DAB" w:rsidRDefault="004D7590" w:rsidP="004D75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м. Краматорськ</w:t>
      </w:r>
    </w:p>
    <w:p w:rsidR="004D7590" w:rsidRPr="00063DAB" w:rsidRDefault="008E0CB8" w:rsidP="004D75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4D7590" w:rsidRPr="00063DA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81135" w:rsidRDefault="00A81135" w:rsidP="00A8113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12518" cy="9048997"/>
            <wp:effectExtent l="19050" t="0" r="25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18" cy="904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35" w:rsidRDefault="00A81135" w:rsidP="00A8113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0C6" w:rsidRPr="00063DAB" w:rsidRDefault="007520C6" w:rsidP="00A81135">
      <w:pPr>
        <w:spacing w:after="0"/>
        <w:ind w:left="3828" w:firstLine="127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7520C6" w:rsidRPr="00063DAB" w:rsidRDefault="007520C6" w:rsidP="007520C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Голова Ради директорів закладів фахової передвищої освіти Донецької області</w:t>
      </w:r>
    </w:p>
    <w:p w:rsidR="007520C6" w:rsidRPr="00063DAB" w:rsidRDefault="007520C6" w:rsidP="007520C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Pr="00063DAB" w:rsidRDefault="007520C6" w:rsidP="007520C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_____________ Олексій МАКУХА</w:t>
      </w:r>
    </w:p>
    <w:p w:rsidR="007520C6" w:rsidRPr="00063DAB" w:rsidRDefault="008E0CB8" w:rsidP="007520C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 2021</w:t>
      </w:r>
    </w:p>
    <w:p w:rsidR="007520C6" w:rsidRPr="00063DAB" w:rsidRDefault="007520C6" w:rsidP="007520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5F2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0C6" w:rsidRDefault="007520C6" w:rsidP="005F2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590" w:rsidRPr="00063DAB" w:rsidRDefault="005F2088" w:rsidP="005F2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b/>
          <w:sz w:val="28"/>
          <w:szCs w:val="28"/>
          <w:lang w:val="uk-UA"/>
        </w:rPr>
        <w:t>1 ЗАГАЛЬНІ ПОЛОЖЕННЯ</w:t>
      </w:r>
    </w:p>
    <w:p w:rsidR="004D7590" w:rsidRPr="00063DAB" w:rsidRDefault="004D7590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2088" w:rsidRPr="00063DAB" w:rsidRDefault="005F2088" w:rsidP="005F2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1.1 Положення про Регіональну студен</w:t>
      </w:r>
      <w:r w:rsidR="008E0CB8">
        <w:rPr>
          <w:rFonts w:ascii="Times New Roman" w:hAnsi="Times New Roman" w:cs="Times New Roman"/>
          <w:sz w:val="28"/>
          <w:szCs w:val="28"/>
          <w:lang w:val="uk-UA"/>
        </w:rPr>
        <w:t>тську олімпіаду з «Будівельних дисциплін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» (далі – Положення) розроблене відповідно до Законів України «Про освіту», «Про фахову </w:t>
      </w:r>
      <w:proofErr w:type="spellStart"/>
      <w:r w:rsidRPr="00063DAB">
        <w:rPr>
          <w:rFonts w:ascii="Times New Roman" w:hAnsi="Times New Roman" w:cs="Times New Roman"/>
          <w:sz w:val="28"/>
          <w:szCs w:val="28"/>
          <w:lang w:val="uk-UA"/>
        </w:rPr>
        <w:t>передвищу</w:t>
      </w:r>
      <w:proofErr w:type="spellEnd"/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освіту», Положення про проведення Всеукраїнської студентської олімпіади, затвердженого наказом Міністерства освіти і  науки, молоді та спорту  України від 13.12.2012р.,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1410 та зареєстрованого в Міністерстві юстиції України 27.12.2012р. за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2207/22519. </w:t>
      </w:r>
    </w:p>
    <w:p w:rsidR="005F2088" w:rsidRPr="00063DAB" w:rsidRDefault="005F2088" w:rsidP="005F2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1.2 Регіон</w:t>
      </w:r>
      <w:r w:rsidR="008E0CB8">
        <w:rPr>
          <w:rFonts w:ascii="Times New Roman" w:hAnsi="Times New Roman" w:cs="Times New Roman"/>
          <w:sz w:val="28"/>
          <w:szCs w:val="28"/>
          <w:lang w:val="uk-UA"/>
        </w:rPr>
        <w:t>альна олімпіада з «Будівельних дисциплін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» серед студентів закладів фахової передвищої освіти (далі Олімпіада) – система очних (дистанційних) змагань студентів закладів фахової передвищої освіти у творчому застосуванні здобутих знань, умінь та навичок.</w:t>
      </w:r>
    </w:p>
    <w:p w:rsidR="005F2088" w:rsidRPr="00063DAB" w:rsidRDefault="005F2088" w:rsidP="005F2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1.3 Олімпіада проводиться щорічно з метою виявлення, відбору та підтримки обдарованої студентської молоді, розвитку та реалізації здібностей студентів, стимулювання творчої праці студентів та педагогічних працівників, підвищення якості підготовки фахівців, активізації навчально-пізнавальної діяльності студентів, інтенсифікації та вдосконалення навчального процесу.</w:t>
      </w:r>
    </w:p>
    <w:p w:rsidR="005F2088" w:rsidRPr="00063DAB" w:rsidRDefault="005F2088" w:rsidP="005F2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1.4 Олімпіада проводиться серед здобувачів освітньо-професійного ступеня «фаховий молодший бакалавр» та освітньо-кваліфікаційного рівня «молодший спеціаліст» закладів фахової передвищої освіти Краматорсько-Слов’янського регіону Донецької області. </w:t>
      </w:r>
    </w:p>
    <w:p w:rsidR="004D7590" w:rsidRPr="00063DAB" w:rsidRDefault="005F2088" w:rsidP="005F2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1.5 Під час проведення Олімпіади обробка персональних даних учасників Олімпіади здійснюється відповідно до вимог Закону України «Про захист персональних даних».</w:t>
      </w:r>
    </w:p>
    <w:p w:rsidR="00950725" w:rsidRPr="00063DAB" w:rsidRDefault="00950725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950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0C6" w:rsidRDefault="007520C6" w:rsidP="00950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725" w:rsidRPr="00063DAB" w:rsidRDefault="00950725" w:rsidP="00950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b/>
          <w:sz w:val="28"/>
          <w:szCs w:val="28"/>
          <w:lang w:val="uk-UA"/>
        </w:rPr>
        <w:t>2 ОРГАНІЗАЦІЙНИЙ КОМІТЕТ</w:t>
      </w:r>
    </w:p>
    <w:p w:rsidR="005F2088" w:rsidRPr="00063DAB" w:rsidRDefault="005F2088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50725" w:rsidRPr="00063DAB" w:rsidRDefault="00950725" w:rsidP="00950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2.1 Підготовку та проведення Олімпіади здійснює:</w:t>
      </w:r>
    </w:p>
    <w:p w:rsidR="00950725" w:rsidRPr="00063DAB" w:rsidRDefault="00950725" w:rsidP="00950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– організаційний комітет, персональний склад якого затверджує голова Ради директорів закладів фахової передвищої освіти Донецької області; </w:t>
      </w:r>
    </w:p>
    <w:p w:rsidR="00950725" w:rsidRPr="00063DAB" w:rsidRDefault="00950725" w:rsidP="00950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– робоча група, створена на базі закладу фахової передвищої освіти, який приймає Олімпіаду</w:t>
      </w:r>
      <w:r w:rsidR="00C922BC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0A22" w:rsidRPr="00063DA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922BC" w:rsidRPr="00063DAB">
        <w:rPr>
          <w:rFonts w:ascii="Times New Roman" w:hAnsi="Times New Roman" w:cs="Times New Roman"/>
          <w:sz w:val="28"/>
          <w:szCs w:val="28"/>
          <w:lang w:val="uk-UA"/>
        </w:rPr>
        <w:t>у разі, якщо Олімпіада проводиться очно</w:t>
      </w:r>
      <w:r w:rsidR="00360A22" w:rsidRPr="00063D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22BC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A22" w:rsidRPr="00063DA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C922BC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закладів фахової передвищої освіти Краматорсько-Слов’янського регіону, які брали участь у підготовці студентів до Олімпіади, </w:t>
      </w:r>
      <w:r w:rsidR="00360A22" w:rsidRPr="00063DA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922BC" w:rsidRPr="00063DAB">
        <w:rPr>
          <w:rFonts w:ascii="Times New Roman" w:hAnsi="Times New Roman" w:cs="Times New Roman"/>
          <w:sz w:val="28"/>
          <w:szCs w:val="28"/>
          <w:lang w:val="uk-UA"/>
        </w:rPr>
        <w:t>у разі, якщо Олімпіада проводиться дистанційно</w:t>
      </w:r>
      <w:r w:rsidR="00360A22" w:rsidRPr="00063D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0725" w:rsidRPr="00063DAB" w:rsidRDefault="00950725" w:rsidP="00950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Організатором та координатором Олімпіади є організаційний комітет, на який покладається організаційно-методичне забезпечення проведення Олімпіади, а саме:</w:t>
      </w:r>
    </w:p>
    <w:p w:rsidR="00950725" w:rsidRPr="00063DAB" w:rsidRDefault="00950725" w:rsidP="009507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розроблення положення, методичних рекомендацій щодо організації та проведення Олімпіади, у разі необхідності, корегує їх;</w:t>
      </w:r>
    </w:p>
    <w:p w:rsidR="00950725" w:rsidRPr="00063DAB" w:rsidRDefault="00950725" w:rsidP="009507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надання практичної допомоги закладам фахової передвищої освіти Краматорсько-Слов’янського регіону в організації Олімпіади;</w:t>
      </w:r>
    </w:p>
    <w:p w:rsidR="00950725" w:rsidRPr="00063DAB" w:rsidRDefault="00950725" w:rsidP="009507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забезпечення закладів фахової передвищої освіти Краматорсько-Слов’янського регіону необхідними інформаційними та методичними матеріалами;</w:t>
      </w:r>
    </w:p>
    <w:p w:rsidR="00950725" w:rsidRPr="00063DAB" w:rsidRDefault="00950725" w:rsidP="009507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формування плану проведення Олімпіади на наступний навчальний рік відповідно до пропозицій закладів фахової передвищої освіти Краматорсько-Слов’янського регіону;</w:t>
      </w:r>
    </w:p>
    <w:p w:rsidR="00950725" w:rsidRPr="00063DAB" w:rsidRDefault="00950725" w:rsidP="009507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бази конкурсних завдань на основі надісланих пакетів </w:t>
      </w:r>
      <w:r w:rsidR="00C922BC" w:rsidRPr="00063DAB">
        <w:rPr>
          <w:rFonts w:ascii="Times New Roman" w:hAnsi="Times New Roman" w:cs="Times New Roman"/>
          <w:sz w:val="28"/>
          <w:szCs w:val="28"/>
          <w:lang w:val="uk-UA"/>
        </w:rPr>
        <w:t>закладами фахової передвищої освіти Краматорсько-Слов’янського регіону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. Завдання повинні бути відповідної якості та складності, відповідати рівню </w:t>
      </w:r>
      <w:r w:rsidR="00C922BC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Регіональної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олімпіади і обов’язково перевірені на коректність;</w:t>
      </w:r>
    </w:p>
    <w:p w:rsidR="00C922BC" w:rsidRPr="00063DAB" w:rsidRDefault="00950725" w:rsidP="00C92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бази конкурсних завдань на сайті </w:t>
      </w:r>
      <w:r w:rsidR="00C922BC" w:rsidRPr="00063DAB">
        <w:rPr>
          <w:rFonts w:ascii="Times New Roman" w:hAnsi="Times New Roman" w:cs="Times New Roman"/>
          <w:sz w:val="28"/>
          <w:szCs w:val="28"/>
          <w:lang w:val="uk-UA"/>
        </w:rPr>
        <w:t>територіального базового фахового коледжу ВСП «Краматорський фаховий коледж промисловості, інформаційних технологій та бізнесу ДДМА».</w:t>
      </w:r>
    </w:p>
    <w:p w:rsidR="00950725" w:rsidRPr="00063DAB" w:rsidRDefault="00950725" w:rsidP="00C92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формування складу журі,  лічильної, апеляційної комісії Олімпіади;</w:t>
      </w:r>
    </w:p>
    <w:p w:rsidR="00950725" w:rsidRPr="00063DAB" w:rsidRDefault="00950725" w:rsidP="00C92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аналіз результатів проведення Олімпіади з метою їх використання для вдосконалення навчального процесу;</w:t>
      </w:r>
    </w:p>
    <w:p w:rsidR="00950725" w:rsidRPr="00063DAB" w:rsidRDefault="00950725" w:rsidP="00C92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результатів Олімпіади на сайті </w:t>
      </w:r>
      <w:r w:rsidR="00C922BC" w:rsidRPr="00063DAB">
        <w:rPr>
          <w:rFonts w:ascii="Times New Roman" w:hAnsi="Times New Roman" w:cs="Times New Roman"/>
          <w:sz w:val="28"/>
          <w:szCs w:val="28"/>
          <w:lang w:val="uk-UA"/>
        </w:rPr>
        <w:t>територіального базового фахового коледжу ВСП «Краматорський фаховий коледж промисловості, інформаційних технологій та бізнесу ДДМА»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0725" w:rsidRPr="00063DAB" w:rsidRDefault="00950725" w:rsidP="00C92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підведення остаточних підсумків  та складання звіту про проведення Олімпіади.</w:t>
      </w:r>
    </w:p>
    <w:p w:rsidR="00950725" w:rsidRPr="00063DAB" w:rsidRDefault="00950725" w:rsidP="00950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2.2 Робоча група проводить:</w:t>
      </w:r>
    </w:p>
    <w:p w:rsidR="00950725" w:rsidRPr="00063DAB" w:rsidRDefault="00950725" w:rsidP="00C92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організаційну роботу з підготовки і проведення Олімпіади;</w:t>
      </w:r>
    </w:p>
    <w:p w:rsidR="00950725" w:rsidRPr="00063DAB" w:rsidRDefault="00950725" w:rsidP="00C92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розробляє порядок проведення відповідного етапу Олімпіади;</w:t>
      </w:r>
    </w:p>
    <w:p w:rsidR="00950725" w:rsidRPr="00063DAB" w:rsidRDefault="00950725" w:rsidP="00C92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розробляє програму проведення Олімпіади;</w:t>
      </w:r>
    </w:p>
    <w:p w:rsidR="00950725" w:rsidRPr="00063DAB" w:rsidRDefault="00950725" w:rsidP="00C92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готує документацію для проведення Олімпіади (методичні рекомендації, листи, бланки протоколів тощо);</w:t>
      </w:r>
    </w:p>
    <w:p w:rsidR="00950725" w:rsidRPr="00063DAB" w:rsidRDefault="00950725" w:rsidP="00C92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надає технічне та програмне забезпечення для проведення Олімпіади;</w:t>
      </w:r>
    </w:p>
    <w:p w:rsidR="00950725" w:rsidRPr="00063DAB" w:rsidRDefault="00950725" w:rsidP="00C92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приймає заявки та проводить реєстрацію учасників Олімпіади.</w:t>
      </w:r>
    </w:p>
    <w:p w:rsidR="00950725" w:rsidRPr="00063DAB" w:rsidRDefault="00950725" w:rsidP="00950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2.3  Організаційний коміт</w:t>
      </w:r>
      <w:r w:rsidR="00C922BC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ет щорічно готує Доповнення до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Положення, в якому вказуються місце та умови проведення, персональний склад організаційного комітету, контактні дані, технічні вимоги до завдань та комп’ютерної техніки.</w:t>
      </w:r>
    </w:p>
    <w:p w:rsidR="00950725" w:rsidRPr="00063DAB" w:rsidRDefault="00950725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22BC" w:rsidRPr="00063DAB" w:rsidRDefault="00C922BC" w:rsidP="00C92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b/>
          <w:sz w:val="28"/>
          <w:szCs w:val="28"/>
          <w:lang w:val="uk-UA"/>
        </w:rPr>
        <w:t>3 ОРГАНІЗАЦІЯ ПРОВЕДЕННЯ ОЛІМПІАДИ</w:t>
      </w:r>
    </w:p>
    <w:p w:rsidR="00C922BC" w:rsidRPr="00063DAB" w:rsidRDefault="00C922BC" w:rsidP="004D75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22BC" w:rsidRPr="00063DAB" w:rsidRDefault="00C922BC" w:rsidP="00C92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3.1 Олімпіада відноситься до основних видів навчальної роботи студентів, провод</w:t>
      </w:r>
      <w:r w:rsidR="00606617" w:rsidRPr="00063D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ться щорічно у формі творчого змагання з метою:</w:t>
      </w:r>
    </w:p>
    <w:p w:rsidR="00C922BC" w:rsidRPr="00063DAB" w:rsidRDefault="00C922BC" w:rsidP="006066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підвищення зацікавленості студентів до дисциплін, які вивчаються;</w:t>
      </w:r>
    </w:p>
    <w:p w:rsidR="00C922BC" w:rsidRPr="00063DAB" w:rsidRDefault="00C922BC" w:rsidP="006066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поглиблення знань студентів, виявлення серед них найбільш підготовлених;</w:t>
      </w:r>
    </w:p>
    <w:p w:rsidR="00C922BC" w:rsidRPr="00063DAB" w:rsidRDefault="00C922BC" w:rsidP="006066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виявлення, відбору та підтримки обдарованої студентської молоді, розвитку та реалізації здібностей студентів;</w:t>
      </w:r>
    </w:p>
    <w:p w:rsidR="00C922BC" w:rsidRPr="00063DAB" w:rsidRDefault="00C922BC" w:rsidP="006066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стимулювання творчої праці студентів і педагогічних працівників;</w:t>
      </w:r>
    </w:p>
    <w:p w:rsidR="00C922BC" w:rsidRPr="00063DAB" w:rsidRDefault="00C922BC" w:rsidP="006066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активізації навчально-пізнавальної діяльності студентів;</w:t>
      </w:r>
    </w:p>
    <w:p w:rsidR="00C922BC" w:rsidRPr="00063DAB" w:rsidRDefault="00C922BC" w:rsidP="006066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підвищення якості підготовки фахівців, інтенсифікації та вдосконалення навчального процесу;</w:t>
      </w:r>
    </w:p>
    <w:p w:rsidR="00C922BC" w:rsidRPr="00063DAB" w:rsidRDefault="00C922BC" w:rsidP="006066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команд для участі в </w:t>
      </w:r>
      <w:r w:rsidR="00606617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Обласних,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Всеукраїнських та міжнародних олімпіадах з </w:t>
      </w:r>
      <w:r w:rsidR="00606617" w:rsidRPr="00063DAB">
        <w:rPr>
          <w:rFonts w:ascii="Times New Roman" w:hAnsi="Times New Roman" w:cs="Times New Roman"/>
          <w:sz w:val="28"/>
          <w:szCs w:val="28"/>
          <w:lang w:val="uk-UA"/>
        </w:rPr>
        <w:t>програмування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617" w:rsidRPr="00063DAB" w:rsidRDefault="00606617" w:rsidP="00606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3.2 Студентська Регіо</w:t>
      </w:r>
      <w:r w:rsidR="008E0CB8">
        <w:rPr>
          <w:rFonts w:ascii="Times New Roman" w:hAnsi="Times New Roman" w:cs="Times New Roman"/>
          <w:sz w:val="28"/>
          <w:szCs w:val="28"/>
          <w:lang w:val="uk-UA"/>
        </w:rPr>
        <w:t>нальна олімпіада з будівельних дисциплін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щорічно у два етапи:</w:t>
      </w:r>
    </w:p>
    <w:p w:rsidR="00606617" w:rsidRPr="00063DAB" w:rsidRDefault="00606617" w:rsidP="00606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617" w:rsidRPr="00063DAB" w:rsidRDefault="00606617" w:rsidP="00606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І – й етап Олімпіади проводиться на рівні закладу фахової передвищої освіти (лютий – березень поточного року);</w:t>
      </w:r>
    </w:p>
    <w:p w:rsidR="00606617" w:rsidRPr="00063DAB" w:rsidRDefault="00606617" w:rsidP="00606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ІІ – й етап Олімпіади (Регіональна) проводиться серед студентів – переможців І етапу Олімпіади (березень-квітень поточного року);</w:t>
      </w:r>
    </w:p>
    <w:p w:rsidR="00606617" w:rsidRPr="00063DAB" w:rsidRDefault="00606617" w:rsidP="00606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617" w:rsidRPr="00063DAB" w:rsidRDefault="00606617" w:rsidP="00606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lastRenderedPageBreak/>
        <w:t>3.3 В І-му етапі Олімпіади можуть бра</w:t>
      </w:r>
      <w:r w:rsidR="008E0CB8">
        <w:rPr>
          <w:rFonts w:ascii="Times New Roman" w:hAnsi="Times New Roman" w:cs="Times New Roman"/>
          <w:sz w:val="28"/>
          <w:szCs w:val="28"/>
          <w:lang w:val="uk-UA"/>
        </w:rPr>
        <w:t>ти участь усі бажаючі студенти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денної форми навчання закладів фахової передвищої освіти Краматорсько-Слов’янського регіону незалежно від форм власності та підпорядкування.</w:t>
      </w:r>
    </w:p>
    <w:p w:rsidR="00606617" w:rsidRPr="00063DAB" w:rsidRDefault="00606617" w:rsidP="00606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3.4 Заявки на участь в ІІ етапі Регіональної олімпіади подаються на основі протоколів І</w:t>
      </w:r>
      <w:r w:rsidR="00215F13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етапу.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ІІ етап Регіональної олімпіади проводиться на базі навчального закладу, студент якого посів перше місце на попередній Регіональній олімпіаді або дистанційно. </w:t>
      </w:r>
    </w:p>
    <w:p w:rsidR="00606617" w:rsidRPr="00063DAB" w:rsidRDefault="00606617" w:rsidP="00606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3.5 </w:t>
      </w:r>
      <w:r w:rsidR="00215F13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Викладач закладу фахової передвищої освіти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надсилає заявку переможця І етапу Олімпіади на участь у Регіональній олімпіаді на електронн</w:t>
      </w:r>
      <w:r w:rsidR="00215F13" w:rsidRPr="00063D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215F13" w:rsidRPr="00063D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F13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Голові Регіонального методичного </w:t>
      </w:r>
      <w:r w:rsidR="008E0CB8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будівельних дисциплін</w:t>
      </w:r>
      <w:r w:rsidR="00215F13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(Додаток 1). </w:t>
      </w:r>
    </w:p>
    <w:p w:rsidR="00606617" w:rsidRPr="00063DAB" w:rsidRDefault="00606617" w:rsidP="00606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15F13" w:rsidRPr="00063DA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Реєстрація учасника проводиться за наявністю студентського квитка, у супроводі одного викладача з </w:t>
      </w:r>
      <w:r w:rsidR="008E0CB8">
        <w:rPr>
          <w:rFonts w:ascii="Times New Roman" w:hAnsi="Times New Roman" w:cs="Times New Roman"/>
          <w:sz w:val="28"/>
          <w:szCs w:val="28"/>
          <w:lang w:val="uk-UA"/>
        </w:rPr>
        <w:t>будівельних дисциплін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6617" w:rsidRPr="00063DAB" w:rsidRDefault="00215F13" w:rsidP="00606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3.7 </w:t>
      </w:r>
      <w:r w:rsidR="00606617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неможливості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606617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участ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06617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в Олімпіаді учасника, вказаного в заявці,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викладач, який здійснював підготовку до Олімпіади,</w:t>
      </w:r>
      <w:r w:rsidR="00606617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606617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право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до участі</w:t>
      </w:r>
      <w:r w:rsidR="00606617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у Регіональному етапі </w:t>
      </w:r>
      <w:r w:rsidR="00606617" w:rsidRPr="00063DAB">
        <w:rPr>
          <w:rFonts w:ascii="Times New Roman" w:hAnsi="Times New Roman" w:cs="Times New Roman"/>
          <w:sz w:val="28"/>
          <w:szCs w:val="28"/>
          <w:lang w:val="uk-UA"/>
        </w:rPr>
        <w:t>студента, як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ий посів наступне призове місце у </w:t>
      </w:r>
      <w:r w:rsidR="00606617" w:rsidRPr="00063DAB">
        <w:rPr>
          <w:rFonts w:ascii="Times New Roman" w:hAnsi="Times New Roman" w:cs="Times New Roman"/>
          <w:sz w:val="28"/>
          <w:szCs w:val="28"/>
          <w:lang w:val="uk-UA"/>
        </w:rPr>
        <w:t>І етапі.</w:t>
      </w:r>
    </w:p>
    <w:p w:rsidR="00C922BC" w:rsidRPr="00063DAB" w:rsidRDefault="00C922BC" w:rsidP="00360A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2BC" w:rsidRPr="00063DAB" w:rsidRDefault="00360A22" w:rsidP="00360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b/>
          <w:sz w:val="28"/>
          <w:szCs w:val="28"/>
          <w:lang w:val="uk-UA"/>
        </w:rPr>
        <w:t>4 ПОРЯДОК ПРОВЕДЕННЯ ОЛІМПІАДИ</w:t>
      </w:r>
    </w:p>
    <w:p w:rsidR="00606617" w:rsidRPr="00063DAB" w:rsidRDefault="00606617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A22" w:rsidRPr="00063DAB" w:rsidRDefault="00360A22" w:rsidP="00360A2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1 (одну) годину до початку ІІ етапу Регіональної олімпіади, методом жеребкування </w:t>
      </w:r>
      <w:r w:rsidR="008E0CB8">
        <w:rPr>
          <w:rFonts w:ascii="Times New Roman" w:hAnsi="Times New Roman" w:cs="Times New Roman"/>
          <w:sz w:val="28"/>
          <w:szCs w:val="28"/>
          <w:lang w:val="uk-UA"/>
        </w:rPr>
        <w:t>серед викладачів з будівельних дисциплін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, які супроводжують учасників (у разі проведення Олімпіади очно) або які брали участь у підготовці до Олімпіади (у разі проведення Олімпіади дистанційно), оргкомітет формує склад журі, склад лічильної та апеляційної комісій.</w:t>
      </w:r>
    </w:p>
    <w:p w:rsidR="00360A22" w:rsidRPr="00063DAB" w:rsidRDefault="00360A22" w:rsidP="00360A2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0BA3" w:rsidRPr="00063DA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онкурсні завдання</w:t>
      </w:r>
      <w:r w:rsidR="00520BA3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шляхом жеребкування (у разі проведення Олімпіади очно) та методом випадкового відбору (у разі проведення Олімпіади дистанційно)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A22" w:rsidRPr="00063DAB" w:rsidRDefault="00360A22" w:rsidP="00360A2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4.4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Учасникам забороняється користуватися будь-якими </w:t>
      </w:r>
      <w:proofErr w:type="spellStart"/>
      <w:r w:rsidRPr="00063DAB">
        <w:rPr>
          <w:rFonts w:ascii="Times New Roman" w:hAnsi="Times New Roman" w:cs="Times New Roman"/>
          <w:sz w:val="28"/>
          <w:szCs w:val="28"/>
          <w:lang w:val="uk-UA"/>
        </w:rPr>
        <w:t>з’ємними</w:t>
      </w:r>
      <w:proofErr w:type="spellEnd"/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носіями, мобільними пристроями тощо.</w:t>
      </w:r>
    </w:p>
    <w:p w:rsidR="00360A22" w:rsidRPr="00063DAB" w:rsidRDefault="00360A22" w:rsidP="00360A2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4.5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Час, який відводиться на виконання завдання визначається членами журі. </w:t>
      </w:r>
    </w:p>
    <w:p w:rsidR="00360A22" w:rsidRPr="00063DAB" w:rsidRDefault="00360A22" w:rsidP="00360A2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ab/>
        <w:t>Якість виконання завдань визначають члени журі, а підведення підсумків виконує лічильна комісія.</w:t>
      </w:r>
    </w:p>
    <w:p w:rsidR="00360A22" w:rsidRPr="00063DAB" w:rsidRDefault="00360A22" w:rsidP="00360A2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Голова лічильної комісії оголошує попередні та кінцеві результати, прізвища переможців. </w:t>
      </w:r>
    </w:p>
    <w:p w:rsidR="00606617" w:rsidRPr="00063DAB" w:rsidRDefault="00360A22" w:rsidP="00360A2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4.8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разі непогодження з </w:t>
      </w:r>
      <w:r w:rsidR="00520BA3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висновками журі, кожен учасник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має право подати заяву до апеляційної комісії </w:t>
      </w:r>
      <w:r w:rsidR="00520BA3" w:rsidRPr="00063DAB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однієї години після оголошення попередніх результатів.</w:t>
      </w:r>
    </w:p>
    <w:p w:rsidR="00606617" w:rsidRPr="00063DAB" w:rsidRDefault="00606617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BA3" w:rsidRPr="00063DAB" w:rsidRDefault="00520BA3" w:rsidP="00520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b/>
          <w:sz w:val="28"/>
          <w:szCs w:val="28"/>
          <w:lang w:val="uk-UA"/>
        </w:rPr>
        <w:t>5 ЖУРІ, ЛІЧИЛЬНА ТА АПЕЛЯЦІЙНА КОМІСІЇ ОЛІМПІАДИ</w:t>
      </w:r>
    </w:p>
    <w:p w:rsidR="00520BA3" w:rsidRPr="00063DAB" w:rsidRDefault="00520BA3" w:rsidP="00520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BA3" w:rsidRPr="00582CB1" w:rsidRDefault="00520BA3" w:rsidP="00AE778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Склад членів журі, лічильної та апеляційної комісії встановлює оргкомітет </w:t>
      </w:r>
      <w:r w:rsidRPr="00582CB1">
        <w:rPr>
          <w:rFonts w:ascii="Times New Roman" w:hAnsi="Times New Roman" w:cs="Times New Roman"/>
          <w:sz w:val="28"/>
          <w:szCs w:val="28"/>
          <w:lang w:val="uk-UA"/>
        </w:rPr>
        <w:t xml:space="preserve">методом жеребкування. </w:t>
      </w:r>
    </w:p>
    <w:p w:rsidR="00520BA3" w:rsidRPr="00582CB1" w:rsidRDefault="00520BA3" w:rsidP="00520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CB1">
        <w:rPr>
          <w:rFonts w:ascii="Times New Roman" w:hAnsi="Times New Roman" w:cs="Times New Roman"/>
          <w:sz w:val="28"/>
          <w:szCs w:val="28"/>
          <w:lang w:val="uk-UA"/>
        </w:rPr>
        <w:t>Кількість членів:</w:t>
      </w:r>
    </w:p>
    <w:p w:rsidR="00520BA3" w:rsidRPr="00063DAB" w:rsidRDefault="00520BA3" w:rsidP="00520BA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CB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2CB1">
        <w:rPr>
          <w:rFonts w:ascii="Times New Roman" w:hAnsi="Times New Roman" w:cs="Times New Roman"/>
          <w:sz w:val="28"/>
          <w:szCs w:val="28"/>
          <w:lang w:val="uk-UA"/>
        </w:rPr>
        <w:tab/>
        <w:t>журі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CB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82CB1" w:rsidRPr="00582C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3</w:t>
      </w:r>
      <w:r w:rsidR="00582CB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осіб;</w:t>
      </w:r>
    </w:p>
    <w:p w:rsidR="00520BA3" w:rsidRPr="00063DAB" w:rsidRDefault="00520BA3" w:rsidP="00520BA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>лічильна комісія 2 особи;</w:t>
      </w:r>
    </w:p>
    <w:p w:rsidR="00AE7786" w:rsidRPr="00063DAB" w:rsidRDefault="00AE7786" w:rsidP="00520BA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ab/>
        <w:t>апеляційна комісія 3 особи;</w:t>
      </w:r>
    </w:p>
    <w:p w:rsidR="00520BA3" w:rsidRPr="00063DAB" w:rsidRDefault="00520BA3" w:rsidP="00AE778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Члени журі аналізують зміст конкурсних завдань і, вразі необхідності, корегують їх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0BA3" w:rsidRPr="00063DAB" w:rsidRDefault="00520BA3" w:rsidP="00AE778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Члени журі перевіряють роботи учасників Олімпіади за встановленими критеріями їх оцінювання. Члени журі формують поточні протоколи перевірки завдань.</w:t>
      </w:r>
    </w:p>
    <w:p w:rsidR="00520BA3" w:rsidRPr="00063DAB" w:rsidRDefault="00520BA3" w:rsidP="00AE778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Члени журі аналізують підсумки виконання учасниками Олімпіади завдань, виявляють характерні помилки та надають оцінку їх рівня підготовки (звіт в довільній формі). </w:t>
      </w:r>
    </w:p>
    <w:p w:rsidR="00520BA3" w:rsidRPr="00063DAB" w:rsidRDefault="00520BA3" w:rsidP="00AE778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Лічильна комісія підраховує загальну суму балів за кожний етап зав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дання, яке оцінили члени журі.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Лічильна комісія визначає рейтинг кожного учасника Олімпіади. </w:t>
      </w:r>
    </w:p>
    <w:p w:rsidR="00520BA3" w:rsidRPr="00063DAB" w:rsidRDefault="00520BA3" w:rsidP="00AE778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Голова лічильної комісії оголошує попередні та кінцеві результати Олімпіади та передає їх до оргкомітету. </w:t>
      </w:r>
    </w:p>
    <w:p w:rsidR="00520BA3" w:rsidRPr="00063DAB" w:rsidRDefault="00520BA3" w:rsidP="00AE778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Лічильна комісія готує подання оргкомітету про визначення призерів Олімпіади.</w:t>
      </w:r>
    </w:p>
    <w:p w:rsidR="00520BA3" w:rsidRPr="00063DAB" w:rsidRDefault="00520BA3" w:rsidP="00AE778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Для забезпе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>чення об’єктивного проведення І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І етапу Олімпіади створюється апеляційна комісія.</w:t>
      </w:r>
    </w:p>
    <w:p w:rsidR="00520BA3" w:rsidRPr="00063DAB" w:rsidRDefault="00520BA3" w:rsidP="00AE778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Апеляційна комісія у разі необхідності розглядає заяви учасників олімпіади.</w:t>
      </w:r>
    </w:p>
    <w:p w:rsidR="00520BA3" w:rsidRPr="00063DAB" w:rsidRDefault="00520BA3" w:rsidP="00AE778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Апеляційна комісія розглядає звернення учасників Олімпіади щодо вирішення питань, пов’язаних з оцінюванням завдань. Під час розгляду заяв апеляційна комісія має право як підвищити оцінку з апеляційного питання (або залишити її без змін), так і понизити її у разі виявлення помилок, не помічених при початковій перевірці. Рішення апеляційної комісії враховується лічильною комісією при визначені загальної суми балів та підведенні підсумків Олімпіади. </w:t>
      </w:r>
    </w:p>
    <w:p w:rsidR="00AE7786" w:rsidRPr="00063DAB" w:rsidRDefault="00AE7786" w:rsidP="00520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AE7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0C6" w:rsidRDefault="007520C6" w:rsidP="00AE7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0C6" w:rsidRDefault="007520C6" w:rsidP="00AE7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0C6" w:rsidRDefault="007520C6" w:rsidP="00AE7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BA3" w:rsidRPr="00063DAB" w:rsidRDefault="00AE7786" w:rsidP="00AE7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b/>
          <w:sz w:val="28"/>
          <w:szCs w:val="28"/>
          <w:lang w:val="uk-UA"/>
        </w:rPr>
        <w:t>6 ПІДВЕДЕННЯ ПІДСУМКІВ ОЛІМПІАДИ</w:t>
      </w:r>
    </w:p>
    <w:p w:rsidR="00AE7786" w:rsidRPr="00063DAB" w:rsidRDefault="00AE7786" w:rsidP="00520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BA3" w:rsidRPr="00063DAB" w:rsidRDefault="00520BA3" w:rsidP="00AE778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6.1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підрахунків лічильна комісія визначає рейтинг кожного учасника Олімпіади. </w:t>
      </w:r>
    </w:p>
    <w:p w:rsidR="00520BA3" w:rsidRPr="00063DAB" w:rsidRDefault="00520BA3" w:rsidP="00AE778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6.2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Кількість призерів не може перевищувати 30% від загальної кількості учасників, але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не більше 6 осіб.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В іншому випадку призерами стають перші три учасники за рейтингом. </w:t>
      </w:r>
    </w:p>
    <w:p w:rsidR="00520BA3" w:rsidRPr="00063DAB" w:rsidRDefault="00520BA3" w:rsidP="00AE778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6.3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Переможцем вважається перший за рейтингом учасник.</w:t>
      </w:r>
    </w:p>
    <w:p w:rsidR="00520BA3" w:rsidRPr="00063DAB" w:rsidRDefault="00520BA3" w:rsidP="00AE778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6.4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Всі учасники ІІ етапу 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>Регіональної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олімпіади з </w:t>
      </w:r>
      <w:r w:rsidR="00582CB1">
        <w:rPr>
          <w:rFonts w:ascii="Times New Roman" w:hAnsi="Times New Roman" w:cs="Times New Roman"/>
          <w:sz w:val="28"/>
          <w:szCs w:val="28"/>
          <w:lang w:val="uk-UA"/>
        </w:rPr>
        <w:t xml:space="preserve">будівельних дисциплін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серед студентів 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закладів фахової передвищої освіти Краматорсько-Слов’янського регіону нагороджуються дипломами та </w:t>
      </w:r>
      <w:r w:rsidR="00F221C0" w:rsidRPr="00063DAB">
        <w:rPr>
          <w:rFonts w:ascii="Times New Roman" w:hAnsi="Times New Roman" w:cs="Times New Roman"/>
          <w:sz w:val="28"/>
          <w:szCs w:val="28"/>
          <w:lang w:val="uk-UA"/>
        </w:rPr>
        <w:t>сертифікати учасників</w:t>
      </w:r>
      <w:r w:rsidR="00AE7786" w:rsidRPr="00063D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7786" w:rsidRPr="00063DAB" w:rsidRDefault="00F221C0" w:rsidP="00F221C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6.5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ab/>
        <w:t>Дипломом I ступеня нагороджується лише один учасник. У разі, якщо однакову кількість балів набрали декілька учасників, які претендують на нагородження, диплом отримує учасник, який першим виконав всі завдання.</w:t>
      </w:r>
    </w:p>
    <w:p w:rsidR="00370DBC" w:rsidRPr="00063DAB" w:rsidRDefault="00F221C0" w:rsidP="00F221C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6.6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Дипломом І ступеня нагороджується учасник, який набрав найбільшу кількість балів 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>у рейтингу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, ІІ ступеня – 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>друге місце у рейтингу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, ІІІ ступеня – 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>третє місце у рейтингу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21C0" w:rsidRPr="00063DAB" w:rsidRDefault="00F221C0" w:rsidP="00F221C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Викладачі, які здійснювали підготовку учасників до Олімпіади, отримають Сертифікати про підвищення кваліфікації педагогічних працівників обсягом до 6 годин.</w:t>
      </w:r>
    </w:p>
    <w:p w:rsidR="00F221C0" w:rsidRPr="00063DAB" w:rsidRDefault="00F221C0" w:rsidP="00520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BA3" w:rsidRPr="00063DAB" w:rsidRDefault="00370DBC" w:rsidP="00370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b/>
          <w:sz w:val="28"/>
          <w:szCs w:val="28"/>
          <w:lang w:val="uk-UA"/>
        </w:rPr>
        <w:t>7 ФІНАНСУВАННЯ ОЛІМПІАДИ</w:t>
      </w:r>
    </w:p>
    <w:p w:rsidR="00AE7786" w:rsidRPr="00063DAB" w:rsidRDefault="00AE7786" w:rsidP="00520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BA3" w:rsidRPr="00063DAB" w:rsidRDefault="00370DBC" w:rsidP="00520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7.1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0BA3" w:rsidRPr="00063DAB">
        <w:rPr>
          <w:rFonts w:ascii="Times New Roman" w:hAnsi="Times New Roman" w:cs="Times New Roman"/>
          <w:sz w:val="28"/>
          <w:szCs w:val="28"/>
          <w:lang w:val="uk-UA"/>
        </w:rPr>
        <w:t>Витрати на організацію та проведення Олімпіади здійснюються за рахунок джерел, не заборонених чинним законодавством України.</w:t>
      </w:r>
    </w:p>
    <w:p w:rsidR="00520BA3" w:rsidRPr="00063DAB" w:rsidRDefault="00520BA3" w:rsidP="00520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7.2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Витрати на відрядження студента та викладача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>, який його супроводжує (у разі проведення Олімпіади очно)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у ІІ етапі 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>Регіональної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олімпіади здійснюються закладами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фахової передвищої освіти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, в яких вони навчаються, працюють, та за рахунок джерел, не заборонених чинним законодавством України.</w:t>
      </w:r>
    </w:p>
    <w:p w:rsidR="00520BA3" w:rsidRPr="00063DAB" w:rsidRDefault="00520BA3" w:rsidP="00520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7.3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Матеріально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технічне забезпечення 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>Регіональної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студентської олімпіади</w:t>
      </w:r>
      <w:r w:rsidR="00582CB1">
        <w:rPr>
          <w:rFonts w:ascii="Times New Roman" w:hAnsi="Times New Roman" w:cs="Times New Roman"/>
          <w:sz w:val="28"/>
          <w:szCs w:val="28"/>
          <w:lang w:val="uk-UA"/>
        </w:rPr>
        <w:t xml:space="preserve"> з будівельних дисциплін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закладом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фахової передвищої освіти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, де вона проводиться.</w:t>
      </w:r>
    </w:p>
    <w:p w:rsidR="00520BA3" w:rsidRPr="00063DAB" w:rsidRDefault="00520BA3" w:rsidP="00520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7.4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 переможців ІІ етапу 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>Регіональної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олімпіади здійснюється за рахунок закладу 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фахової передвищої освіти 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82CB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наявності можливостей), де вона проводиться.</w:t>
      </w:r>
    </w:p>
    <w:p w:rsidR="00520BA3" w:rsidRPr="00063DAB" w:rsidRDefault="00520BA3" w:rsidP="00520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lastRenderedPageBreak/>
        <w:t>7.5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Участь педагогічних працівників у розробці </w:t>
      </w:r>
      <w:proofErr w:type="spellStart"/>
      <w:r w:rsidRPr="00063DAB">
        <w:rPr>
          <w:rFonts w:ascii="Times New Roman" w:hAnsi="Times New Roman" w:cs="Times New Roman"/>
          <w:sz w:val="28"/>
          <w:szCs w:val="28"/>
          <w:lang w:val="uk-UA"/>
        </w:rPr>
        <w:t>олімпіадних</w:t>
      </w:r>
      <w:proofErr w:type="spellEnd"/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завдань та їх перевірці враховується закладом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фахової передвищої освіти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при плануванні їх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навантаження або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навчально-методичної та організаційної роботи.</w:t>
      </w:r>
    </w:p>
    <w:p w:rsidR="00606617" w:rsidRPr="00063DAB" w:rsidRDefault="00520BA3" w:rsidP="00520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Керівник закладу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фахової передвищої освіти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, на базі якого проводилась Олімпіада (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>у разі проведення олімпіади очно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), може нагороджувати грамотами, грошовими преміями, цінними подарунками активних організаторів Олімпіади із коштів закладу</w:t>
      </w:r>
      <w:r w:rsidR="00370DBC"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фахової передвищої освіти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0BA3" w:rsidRPr="00063DAB" w:rsidRDefault="00520BA3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BA3" w:rsidRPr="00063DAB" w:rsidRDefault="00520BA3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A22" w:rsidRPr="00063DAB" w:rsidRDefault="00360A22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A22" w:rsidRDefault="00360A22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Pr="00063DAB" w:rsidRDefault="007520C6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A22" w:rsidRPr="00063DAB" w:rsidRDefault="00370DBC" w:rsidP="00370DB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370DBC" w:rsidRPr="00063DAB" w:rsidRDefault="00370DBC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66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/>
      </w:tblPr>
      <w:tblGrid>
        <w:gridCol w:w="675"/>
        <w:gridCol w:w="2428"/>
        <w:gridCol w:w="6403"/>
      </w:tblGrid>
      <w:tr w:rsidR="00063DAB" w:rsidRPr="00A81135" w:rsidTr="00475A04">
        <w:trPr>
          <w:trHeight w:val="232"/>
        </w:trPr>
        <w:tc>
          <w:tcPr>
            <w:tcW w:w="5000" w:type="pct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</w:tcPr>
          <w:p w:rsidR="00063DAB" w:rsidRPr="00063DAB" w:rsidRDefault="00063DAB" w:rsidP="00F47AC2">
            <w:pPr>
              <w:jc w:val="center"/>
              <w:rPr>
                <w:rFonts w:ascii="Garamond Premr Pro" w:hAnsi="Garamond Premr Pro"/>
                <w:b/>
                <w:iCs/>
                <w:sz w:val="28"/>
                <w:szCs w:val="28"/>
                <w:lang w:val="uk-UA"/>
              </w:rPr>
            </w:pPr>
            <w:r w:rsidRPr="00063DAB">
              <w:rPr>
                <w:rFonts w:ascii="Garamond Premr Pro" w:hAnsi="Garamond Premr Pro"/>
                <w:b/>
                <w:sz w:val="28"/>
                <w:szCs w:val="28"/>
                <w:lang w:val="uk-UA"/>
              </w:rPr>
              <w:t xml:space="preserve">Заявка учасника ІІ </w:t>
            </w:r>
            <w:r w:rsidR="00F47AC2" w:rsidRPr="00063D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</w:t>
            </w:r>
            <w:r w:rsidR="00F47A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="00F47AC2" w:rsidRPr="00063D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Регіональної олімпіади з </w:t>
            </w:r>
            <w:r w:rsidR="00582C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будівельних дисциплін</w:t>
            </w:r>
          </w:p>
        </w:tc>
      </w:tr>
      <w:tr w:rsidR="00063DAB" w:rsidRPr="00A81135" w:rsidTr="00475A04">
        <w:trPr>
          <w:trHeight w:val="232"/>
        </w:trPr>
        <w:tc>
          <w:tcPr>
            <w:tcW w:w="5000" w:type="pct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</w:tcPr>
          <w:p w:rsidR="00063DAB" w:rsidRPr="00063DAB" w:rsidRDefault="00063DAB" w:rsidP="00063DAB">
            <w:pPr>
              <w:jc w:val="both"/>
              <w:rPr>
                <w:rFonts w:ascii="Garamond Premr Pro" w:hAnsi="Garamond Premr Pro"/>
                <w:sz w:val="20"/>
                <w:szCs w:val="20"/>
                <w:lang w:val="uk-UA"/>
              </w:rPr>
            </w:pPr>
            <w:r w:rsidRPr="00063DAB">
              <w:rPr>
                <w:rFonts w:ascii="Garamond Premr Pro" w:hAnsi="Garamond Premr Pro"/>
                <w:sz w:val="20"/>
                <w:szCs w:val="20"/>
                <w:lang w:val="uk-UA"/>
              </w:rPr>
              <w:t xml:space="preserve">Заповніть, будь ласка, </w:t>
            </w:r>
            <w:r w:rsidRPr="00063DAB">
              <w:rPr>
                <w:rFonts w:ascii="Garamond Premr Pro" w:hAnsi="Garamond Premr Pro"/>
                <w:b/>
                <w:sz w:val="20"/>
                <w:szCs w:val="20"/>
                <w:u w:val="single"/>
                <w:lang w:val="uk-UA"/>
              </w:rPr>
              <w:t>всі</w:t>
            </w:r>
            <w:r w:rsidRPr="00063DAB">
              <w:rPr>
                <w:rFonts w:ascii="Garamond Premr Pro" w:hAnsi="Garamond Premr Pro"/>
                <w:sz w:val="20"/>
                <w:szCs w:val="20"/>
                <w:lang w:val="uk-UA"/>
              </w:rPr>
              <w:t xml:space="preserve"> поля форми, після цього надішліть реєстраційну форму окремим документом (файл у форматі Word) як вкладений файл на електронну адресу </w:t>
            </w:r>
            <w:proofErr w:type="spellStart"/>
            <w:r w:rsidRPr="00063DAB">
              <w:rPr>
                <w:rFonts w:ascii="Garamond Premr Pro" w:hAnsi="Garamond Premr Pro"/>
                <w:sz w:val="20"/>
                <w:szCs w:val="20"/>
                <w:lang w:val="uk-UA"/>
              </w:rPr>
              <w:t>rmoit.kram</w:t>
            </w:r>
            <w:proofErr w:type="spellEnd"/>
            <w:r w:rsidRPr="00063DAB">
              <w:rPr>
                <w:rFonts w:ascii="Garamond Premr Pro" w:hAnsi="Garamond Premr Pro"/>
                <w:sz w:val="20"/>
                <w:szCs w:val="20"/>
                <w:lang w:val="uk-UA"/>
              </w:rPr>
              <w:t>@gmail.com. Тема повідомлення повинна містити ім’я та прізвище учасника також мати обов’язкову відмітку – «Регіо</w:t>
            </w:r>
            <w:r w:rsidR="00582CB1">
              <w:rPr>
                <w:rFonts w:ascii="Garamond Premr Pro" w:hAnsi="Garamond Premr Pro"/>
                <w:sz w:val="20"/>
                <w:szCs w:val="20"/>
                <w:lang w:val="uk-UA"/>
              </w:rPr>
              <w:t>нальна олімпіада з будівельних дисциплін</w:t>
            </w:r>
            <w:r w:rsidRPr="00063DAB">
              <w:rPr>
                <w:rFonts w:ascii="Garamond Premr Pro" w:hAnsi="Garamond Premr Pro"/>
                <w:sz w:val="20"/>
                <w:szCs w:val="20"/>
                <w:lang w:val="uk-UA"/>
              </w:rPr>
              <w:t>»</w:t>
            </w:r>
          </w:p>
        </w:tc>
      </w:tr>
      <w:tr w:rsidR="00063DAB" w:rsidRPr="00063DAB" w:rsidTr="00063DAB">
        <w:trPr>
          <w:trHeight w:val="295"/>
        </w:trPr>
        <w:tc>
          <w:tcPr>
            <w:tcW w:w="1632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063DAB" w:rsidRPr="00063DAB" w:rsidRDefault="00063DAB" w:rsidP="006633BD">
            <w:pPr>
              <w:jc w:val="center"/>
              <w:rPr>
                <w:rFonts w:ascii="Garamond Premr Pro" w:hAnsi="Garamond Premr Pro"/>
                <w:b/>
                <w:lang w:val="uk-UA"/>
              </w:rPr>
            </w:pPr>
            <w:r w:rsidRPr="00063DAB">
              <w:rPr>
                <w:rFonts w:ascii="Garamond Premr Pro" w:hAnsi="Garamond Premr Pro"/>
                <w:b/>
                <w:lang w:val="uk-UA"/>
              </w:rPr>
              <w:t xml:space="preserve">Повна назва </w:t>
            </w:r>
            <w:r>
              <w:rPr>
                <w:rFonts w:ascii="Garamond Premr Pro" w:hAnsi="Garamond Premr Pro"/>
                <w:b/>
                <w:lang w:val="uk-UA"/>
              </w:rPr>
              <w:t>закладу фахової передвищої освіти</w:t>
            </w:r>
          </w:p>
        </w:tc>
        <w:tc>
          <w:tcPr>
            <w:tcW w:w="336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063DAB" w:rsidRPr="00063DAB" w:rsidRDefault="00063DAB" w:rsidP="006633BD">
            <w:pPr>
              <w:jc w:val="center"/>
              <w:rPr>
                <w:rFonts w:ascii="Garamond Premr Pro" w:hAnsi="Garamond Premr Pro"/>
                <w:iCs/>
                <w:lang w:val="uk-UA"/>
              </w:rPr>
            </w:pPr>
          </w:p>
        </w:tc>
      </w:tr>
      <w:tr w:rsidR="00063DAB" w:rsidRPr="00063DAB" w:rsidTr="00063DAB">
        <w:trPr>
          <w:trHeight w:val="295"/>
        </w:trPr>
        <w:tc>
          <w:tcPr>
            <w:tcW w:w="355" w:type="pct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DAEEF3"/>
            <w:textDirection w:val="btLr"/>
            <w:vAlign w:val="center"/>
          </w:tcPr>
          <w:p w:rsidR="00063DAB" w:rsidRPr="00063DAB" w:rsidRDefault="00063DAB" w:rsidP="00063DAB">
            <w:pPr>
              <w:spacing w:after="0" w:line="240" w:lineRule="auto"/>
              <w:ind w:left="113" w:right="113"/>
              <w:jc w:val="center"/>
              <w:rPr>
                <w:rFonts w:ascii="Garamond Premr Pro" w:hAnsi="Garamond Premr Pro"/>
                <w:b/>
                <w:lang w:val="uk-UA"/>
              </w:rPr>
            </w:pPr>
            <w:r>
              <w:rPr>
                <w:rFonts w:ascii="Garamond Premr Pro" w:hAnsi="Garamond Premr Pro"/>
                <w:b/>
                <w:lang w:val="uk-UA"/>
              </w:rPr>
              <w:t>Інформація про учасника</w:t>
            </w:r>
          </w:p>
        </w:tc>
        <w:tc>
          <w:tcPr>
            <w:tcW w:w="12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063DAB" w:rsidRPr="00063DAB" w:rsidRDefault="00063DAB" w:rsidP="00362A8B">
            <w:pPr>
              <w:jc w:val="center"/>
              <w:rPr>
                <w:rFonts w:ascii="Garamond Premr Pro" w:hAnsi="Garamond Premr Pro"/>
                <w:b/>
                <w:lang w:val="uk-UA"/>
              </w:rPr>
            </w:pPr>
            <w:r w:rsidRPr="00063DAB">
              <w:rPr>
                <w:rFonts w:ascii="Garamond Premr Pro" w:hAnsi="Garamond Premr Pro"/>
                <w:b/>
                <w:lang w:val="uk-UA"/>
              </w:rPr>
              <w:t xml:space="preserve">Прізвище, ім’я, по-батькові </w:t>
            </w:r>
            <w:r w:rsidRPr="00063DAB">
              <w:rPr>
                <w:rFonts w:ascii="Garamond Premr Pro" w:hAnsi="Garamond Premr Pro"/>
                <w:b/>
                <w:i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336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063DAB" w:rsidRPr="00063DAB" w:rsidRDefault="00063DAB" w:rsidP="00475A04">
            <w:pPr>
              <w:jc w:val="center"/>
              <w:rPr>
                <w:rFonts w:ascii="Garamond Premr Pro" w:hAnsi="Garamond Premr Pro"/>
                <w:iCs/>
                <w:lang w:val="uk-UA"/>
              </w:rPr>
            </w:pPr>
          </w:p>
        </w:tc>
      </w:tr>
      <w:tr w:rsidR="00063DAB" w:rsidRPr="00063DAB" w:rsidTr="00063DAB">
        <w:trPr>
          <w:trHeight w:val="295"/>
        </w:trPr>
        <w:tc>
          <w:tcPr>
            <w:tcW w:w="355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063DAB" w:rsidRPr="00063DAB" w:rsidRDefault="00063DAB" w:rsidP="00063DAB">
            <w:pPr>
              <w:jc w:val="center"/>
              <w:rPr>
                <w:rFonts w:ascii="Garamond Premr Pro" w:hAnsi="Garamond Premr Pro"/>
                <w:b/>
                <w:lang w:val="uk-UA"/>
              </w:rPr>
            </w:pPr>
          </w:p>
        </w:tc>
        <w:tc>
          <w:tcPr>
            <w:tcW w:w="12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063DAB" w:rsidRPr="00063DAB" w:rsidRDefault="00063DAB" w:rsidP="00475A04">
            <w:pPr>
              <w:jc w:val="center"/>
              <w:rPr>
                <w:rFonts w:ascii="Garamond Premr Pro" w:hAnsi="Garamond Premr Pro"/>
                <w:b/>
                <w:lang w:val="uk-UA"/>
              </w:rPr>
            </w:pPr>
            <w:r>
              <w:rPr>
                <w:rFonts w:ascii="Garamond Premr Pro" w:hAnsi="Garamond Premr Pro"/>
                <w:b/>
                <w:lang w:val="uk-UA"/>
              </w:rPr>
              <w:t>Спеціальність</w:t>
            </w:r>
          </w:p>
        </w:tc>
        <w:tc>
          <w:tcPr>
            <w:tcW w:w="336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063DAB" w:rsidRPr="00063DAB" w:rsidRDefault="00063DAB" w:rsidP="00475A04">
            <w:pPr>
              <w:jc w:val="center"/>
              <w:rPr>
                <w:rFonts w:ascii="Garamond Premr Pro" w:hAnsi="Garamond Premr Pro"/>
                <w:iCs/>
                <w:lang w:val="uk-UA"/>
              </w:rPr>
            </w:pPr>
          </w:p>
        </w:tc>
      </w:tr>
      <w:tr w:rsidR="00063DAB" w:rsidRPr="00063DAB" w:rsidTr="00063DAB">
        <w:trPr>
          <w:trHeight w:val="295"/>
        </w:trPr>
        <w:tc>
          <w:tcPr>
            <w:tcW w:w="355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063DAB" w:rsidRPr="00063DAB" w:rsidRDefault="00063DAB" w:rsidP="00063DAB">
            <w:pPr>
              <w:jc w:val="center"/>
              <w:rPr>
                <w:rFonts w:ascii="Garamond Premr Pro" w:hAnsi="Garamond Premr Pro"/>
                <w:b/>
                <w:lang w:val="uk-UA"/>
              </w:rPr>
            </w:pPr>
          </w:p>
        </w:tc>
        <w:tc>
          <w:tcPr>
            <w:tcW w:w="12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063DAB" w:rsidRPr="00063DAB" w:rsidRDefault="00063DAB" w:rsidP="00063DAB">
            <w:pPr>
              <w:jc w:val="center"/>
              <w:rPr>
                <w:rFonts w:ascii="Garamond Premr Pro" w:hAnsi="Garamond Premr Pro"/>
                <w:b/>
                <w:lang w:val="uk-UA"/>
              </w:rPr>
            </w:pPr>
            <w:r>
              <w:rPr>
                <w:rFonts w:ascii="Garamond Premr Pro" w:hAnsi="Garamond Premr Pro"/>
                <w:b/>
                <w:lang w:val="uk-UA"/>
              </w:rPr>
              <w:t>Курс, г</w:t>
            </w:r>
            <w:r w:rsidRPr="00063DAB">
              <w:rPr>
                <w:rFonts w:ascii="Garamond Premr Pro" w:hAnsi="Garamond Premr Pro"/>
                <w:b/>
                <w:lang w:val="uk-UA"/>
              </w:rPr>
              <w:t>рупа</w:t>
            </w:r>
          </w:p>
        </w:tc>
        <w:tc>
          <w:tcPr>
            <w:tcW w:w="336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063DAB" w:rsidRPr="00063DAB" w:rsidRDefault="00063DAB" w:rsidP="00475A04">
            <w:pPr>
              <w:jc w:val="center"/>
              <w:rPr>
                <w:rFonts w:ascii="Garamond Premr Pro" w:hAnsi="Garamond Premr Pro"/>
                <w:iCs/>
                <w:lang w:val="uk-UA"/>
              </w:rPr>
            </w:pPr>
          </w:p>
        </w:tc>
      </w:tr>
      <w:tr w:rsidR="00063DAB" w:rsidRPr="00063DAB" w:rsidTr="00063DAB">
        <w:trPr>
          <w:trHeight w:val="295"/>
        </w:trPr>
        <w:tc>
          <w:tcPr>
            <w:tcW w:w="355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063DAB" w:rsidRPr="00063DAB" w:rsidRDefault="00063DAB" w:rsidP="00033B5F">
            <w:pPr>
              <w:jc w:val="center"/>
              <w:rPr>
                <w:rFonts w:ascii="Garamond Premr Pro" w:hAnsi="Garamond Premr Pro"/>
                <w:b/>
                <w:lang w:val="uk-UA"/>
              </w:rPr>
            </w:pPr>
          </w:p>
        </w:tc>
        <w:tc>
          <w:tcPr>
            <w:tcW w:w="12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063DAB" w:rsidRPr="00063DAB" w:rsidRDefault="00063DAB" w:rsidP="005D10BA">
            <w:pPr>
              <w:jc w:val="center"/>
              <w:rPr>
                <w:rFonts w:ascii="Garamond Premr Pro" w:hAnsi="Garamond Premr Pro"/>
                <w:b/>
                <w:lang w:val="uk-UA"/>
              </w:rPr>
            </w:pPr>
            <w:r w:rsidRPr="00063DAB">
              <w:rPr>
                <w:rFonts w:ascii="Garamond Premr Pro" w:hAnsi="Garamond Premr Pro"/>
                <w:b/>
                <w:lang w:val="uk-UA"/>
              </w:rPr>
              <w:t>Електронна адреса</w:t>
            </w:r>
          </w:p>
        </w:tc>
        <w:tc>
          <w:tcPr>
            <w:tcW w:w="336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063DAB" w:rsidRPr="00063DAB" w:rsidRDefault="00063DAB" w:rsidP="00033B5F">
            <w:pPr>
              <w:jc w:val="center"/>
              <w:rPr>
                <w:rFonts w:ascii="Garamond Premr Pro" w:hAnsi="Garamond Premr Pro"/>
                <w:iCs/>
                <w:lang w:val="uk-UA"/>
              </w:rPr>
            </w:pPr>
          </w:p>
        </w:tc>
      </w:tr>
      <w:tr w:rsidR="00063DAB" w:rsidRPr="00063DAB" w:rsidTr="00063DAB">
        <w:trPr>
          <w:trHeight w:val="295"/>
        </w:trPr>
        <w:tc>
          <w:tcPr>
            <w:tcW w:w="355" w:type="pct"/>
            <w:vMerge/>
            <w:tcBorders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063DAB" w:rsidRPr="00063DAB" w:rsidRDefault="00063DAB" w:rsidP="00033B5F">
            <w:pPr>
              <w:jc w:val="center"/>
              <w:rPr>
                <w:rFonts w:ascii="Garamond Premr Pro" w:hAnsi="Garamond Premr Pro"/>
                <w:b/>
                <w:lang w:val="uk-UA"/>
              </w:rPr>
            </w:pPr>
          </w:p>
        </w:tc>
        <w:tc>
          <w:tcPr>
            <w:tcW w:w="12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063DAB" w:rsidRPr="00063DAB" w:rsidRDefault="00063DAB" w:rsidP="005D10BA">
            <w:pPr>
              <w:jc w:val="center"/>
              <w:rPr>
                <w:rFonts w:ascii="Garamond Premr Pro" w:hAnsi="Garamond Premr Pro"/>
                <w:b/>
                <w:lang w:val="uk-UA"/>
              </w:rPr>
            </w:pPr>
            <w:r w:rsidRPr="00063DAB">
              <w:rPr>
                <w:rFonts w:ascii="Garamond Premr Pro" w:hAnsi="Garamond Premr Pro"/>
                <w:b/>
                <w:lang w:val="uk-UA"/>
              </w:rPr>
              <w:t>Контактний телефон (</w:t>
            </w:r>
            <w:proofErr w:type="spellStart"/>
            <w:r w:rsidRPr="00063DAB">
              <w:rPr>
                <w:rFonts w:ascii="Garamond Premr Pro" w:hAnsi="Garamond Premr Pro"/>
                <w:b/>
                <w:lang w:val="uk-UA"/>
              </w:rPr>
              <w:t>моб</w:t>
            </w:r>
            <w:proofErr w:type="spellEnd"/>
            <w:r w:rsidRPr="00063DAB">
              <w:rPr>
                <w:rFonts w:ascii="Garamond Premr Pro" w:hAnsi="Garamond Premr Pro"/>
                <w:b/>
                <w:lang w:val="uk-UA"/>
              </w:rPr>
              <w:t>.)</w:t>
            </w:r>
          </w:p>
        </w:tc>
        <w:tc>
          <w:tcPr>
            <w:tcW w:w="336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063DAB" w:rsidRPr="00063DAB" w:rsidRDefault="00063DAB" w:rsidP="00033B5F">
            <w:pPr>
              <w:jc w:val="center"/>
              <w:rPr>
                <w:rFonts w:ascii="Garamond Premr Pro" w:hAnsi="Garamond Premr Pro"/>
                <w:iCs/>
                <w:lang w:val="uk-UA"/>
              </w:rPr>
            </w:pPr>
          </w:p>
        </w:tc>
      </w:tr>
      <w:tr w:rsidR="00063DAB" w:rsidRPr="00063DAB" w:rsidTr="00063DAB">
        <w:trPr>
          <w:trHeight w:val="295"/>
        </w:trPr>
        <w:tc>
          <w:tcPr>
            <w:tcW w:w="355" w:type="pct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DAEEF3"/>
            <w:textDirection w:val="btLr"/>
            <w:vAlign w:val="center"/>
          </w:tcPr>
          <w:p w:rsidR="00063DAB" w:rsidRPr="00063DAB" w:rsidRDefault="00063DAB" w:rsidP="00063DAB">
            <w:pPr>
              <w:spacing w:after="0" w:line="240" w:lineRule="auto"/>
              <w:ind w:left="113" w:right="113"/>
              <w:jc w:val="center"/>
              <w:rPr>
                <w:rFonts w:ascii="Garamond Premr Pro" w:hAnsi="Garamond Premr Pro"/>
                <w:b/>
                <w:sz w:val="20"/>
                <w:lang w:val="uk-UA"/>
              </w:rPr>
            </w:pPr>
            <w:r w:rsidRPr="00063DAB">
              <w:rPr>
                <w:rFonts w:ascii="Garamond Premr Pro" w:hAnsi="Garamond Premr Pro"/>
                <w:b/>
                <w:sz w:val="20"/>
                <w:lang w:val="uk-UA"/>
              </w:rPr>
              <w:t>Інформація про викладача, який підготував учасника</w:t>
            </w:r>
          </w:p>
        </w:tc>
        <w:tc>
          <w:tcPr>
            <w:tcW w:w="12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063DAB" w:rsidRPr="00063DAB" w:rsidRDefault="00F47AC2" w:rsidP="00063DAB">
            <w:pPr>
              <w:jc w:val="center"/>
              <w:rPr>
                <w:rFonts w:ascii="Garamond Premr Pro" w:hAnsi="Garamond Premr Pro"/>
                <w:b/>
                <w:lang w:val="uk-UA"/>
              </w:rPr>
            </w:pPr>
            <w:r w:rsidRPr="00063DAB">
              <w:rPr>
                <w:rFonts w:ascii="Garamond Premr Pro" w:hAnsi="Garamond Premr Pro"/>
                <w:b/>
                <w:lang w:val="uk-UA"/>
              </w:rPr>
              <w:t xml:space="preserve">Прізвище, ім’я, по-батькові </w:t>
            </w:r>
            <w:r w:rsidRPr="00063DAB">
              <w:rPr>
                <w:rFonts w:ascii="Garamond Premr Pro" w:hAnsi="Garamond Premr Pro"/>
                <w:b/>
                <w:i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336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063DAB" w:rsidRPr="00063DAB" w:rsidRDefault="00063DAB" w:rsidP="00475A04">
            <w:pPr>
              <w:jc w:val="center"/>
              <w:rPr>
                <w:rFonts w:ascii="Garamond Premr Pro" w:hAnsi="Garamond Premr Pro"/>
                <w:iCs/>
                <w:lang w:val="uk-UA"/>
              </w:rPr>
            </w:pPr>
          </w:p>
        </w:tc>
      </w:tr>
      <w:tr w:rsidR="00063DAB" w:rsidRPr="00063DAB" w:rsidTr="00063DAB">
        <w:trPr>
          <w:trHeight w:val="295"/>
        </w:trPr>
        <w:tc>
          <w:tcPr>
            <w:tcW w:w="355" w:type="pct"/>
            <w:vMerge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DAEEF3"/>
            <w:textDirection w:val="btLr"/>
            <w:vAlign w:val="center"/>
          </w:tcPr>
          <w:p w:rsidR="00063DAB" w:rsidRPr="00063DAB" w:rsidRDefault="00063DAB" w:rsidP="00063DAB">
            <w:pPr>
              <w:spacing w:after="0" w:line="240" w:lineRule="auto"/>
              <w:ind w:left="113" w:right="113"/>
              <w:jc w:val="center"/>
              <w:rPr>
                <w:rFonts w:ascii="Garamond Premr Pro" w:hAnsi="Garamond Premr Pro"/>
                <w:b/>
                <w:sz w:val="20"/>
                <w:lang w:val="uk-UA"/>
              </w:rPr>
            </w:pPr>
          </w:p>
        </w:tc>
        <w:tc>
          <w:tcPr>
            <w:tcW w:w="12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063DAB" w:rsidRPr="00063DAB" w:rsidRDefault="00063DAB" w:rsidP="00063DAB">
            <w:pPr>
              <w:spacing w:after="120"/>
              <w:jc w:val="center"/>
              <w:rPr>
                <w:rFonts w:ascii="Garamond Premr Pro" w:hAnsi="Garamond Premr Pro"/>
                <w:b/>
                <w:lang w:val="uk-UA"/>
              </w:rPr>
            </w:pPr>
            <w:r w:rsidRPr="00063DAB">
              <w:rPr>
                <w:rFonts w:ascii="Garamond Premr Pro" w:hAnsi="Garamond Premr Pro"/>
                <w:b/>
                <w:szCs w:val="20"/>
                <w:lang w:val="uk-UA"/>
              </w:rPr>
              <w:t>Кваліфікаційна категорія, науковий ступінь</w:t>
            </w:r>
            <w:r w:rsidR="00F04F7C">
              <w:rPr>
                <w:rFonts w:ascii="Garamond Premr Pro" w:hAnsi="Garamond Premr Pro"/>
                <w:b/>
                <w:szCs w:val="20"/>
                <w:lang w:val="uk-UA"/>
              </w:rPr>
              <w:t xml:space="preserve"> (за наявністю)</w:t>
            </w:r>
          </w:p>
        </w:tc>
        <w:tc>
          <w:tcPr>
            <w:tcW w:w="336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063DAB" w:rsidRPr="00063DAB" w:rsidRDefault="00063DAB" w:rsidP="00475A04">
            <w:pPr>
              <w:jc w:val="center"/>
              <w:rPr>
                <w:rFonts w:ascii="Garamond Premr Pro" w:hAnsi="Garamond Premr Pro"/>
                <w:iCs/>
                <w:lang w:val="uk-UA"/>
              </w:rPr>
            </w:pPr>
          </w:p>
        </w:tc>
      </w:tr>
      <w:tr w:rsidR="00063DAB" w:rsidRPr="00063DAB" w:rsidTr="00063DAB">
        <w:trPr>
          <w:trHeight w:val="295"/>
        </w:trPr>
        <w:tc>
          <w:tcPr>
            <w:tcW w:w="355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063DAB" w:rsidRPr="00063DAB" w:rsidRDefault="00063DAB" w:rsidP="00475A04">
            <w:pPr>
              <w:jc w:val="center"/>
              <w:rPr>
                <w:rFonts w:ascii="Garamond Premr Pro" w:hAnsi="Garamond Premr Pro"/>
                <w:b/>
                <w:lang w:val="uk-UA"/>
              </w:rPr>
            </w:pPr>
          </w:p>
        </w:tc>
        <w:tc>
          <w:tcPr>
            <w:tcW w:w="12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063DAB" w:rsidRPr="00063DAB" w:rsidRDefault="00063DAB" w:rsidP="003E0DE0">
            <w:pPr>
              <w:jc w:val="center"/>
              <w:rPr>
                <w:rFonts w:ascii="Garamond Premr Pro" w:hAnsi="Garamond Premr Pro"/>
                <w:b/>
                <w:lang w:val="uk-UA"/>
              </w:rPr>
            </w:pPr>
            <w:r w:rsidRPr="00063DAB">
              <w:rPr>
                <w:rFonts w:ascii="Garamond Premr Pro" w:hAnsi="Garamond Premr Pro"/>
                <w:b/>
                <w:lang w:val="uk-UA"/>
              </w:rPr>
              <w:t>Електронна адреса</w:t>
            </w:r>
          </w:p>
        </w:tc>
        <w:tc>
          <w:tcPr>
            <w:tcW w:w="336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063DAB" w:rsidRPr="00063DAB" w:rsidRDefault="00063DAB" w:rsidP="00475A04">
            <w:pPr>
              <w:jc w:val="center"/>
              <w:rPr>
                <w:rFonts w:ascii="Garamond Premr Pro" w:hAnsi="Garamond Premr Pro"/>
                <w:iCs/>
                <w:lang w:val="uk-UA"/>
              </w:rPr>
            </w:pPr>
          </w:p>
        </w:tc>
      </w:tr>
      <w:tr w:rsidR="00063DAB" w:rsidRPr="00063DAB" w:rsidTr="00063DAB">
        <w:trPr>
          <w:trHeight w:val="295"/>
        </w:trPr>
        <w:tc>
          <w:tcPr>
            <w:tcW w:w="355" w:type="pct"/>
            <w:vMerge/>
            <w:tcBorders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063DAB" w:rsidRPr="00063DAB" w:rsidRDefault="00063DAB" w:rsidP="00475A04">
            <w:pPr>
              <w:jc w:val="center"/>
              <w:rPr>
                <w:rFonts w:ascii="Garamond Premr Pro" w:hAnsi="Garamond Premr Pro"/>
                <w:b/>
                <w:lang w:val="uk-UA"/>
              </w:rPr>
            </w:pPr>
          </w:p>
        </w:tc>
        <w:tc>
          <w:tcPr>
            <w:tcW w:w="12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063DAB" w:rsidRPr="00063DAB" w:rsidRDefault="00063DAB" w:rsidP="003E0DE0">
            <w:pPr>
              <w:jc w:val="center"/>
              <w:rPr>
                <w:rFonts w:ascii="Garamond Premr Pro" w:hAnsi="Garamond Premr Pro"/>
                <w:b/>
                <w:lang w:val="uk-UA"/>
              </w:rPr>
            </w:pPr>
            <w:r w:rsidRPr="00063DAB">
              <w:rPr>
                <w:rFonts w:ascii="Garamond Premr Pro" w:hAnsi="Garamond Premr Pro"/>
                <w:b/>
                <w:lang w:val="uk-UA"/>
              </w:rPr>
              <w:t>Контактний телефон (</w:t>
            </w:r>
            <w:proofErr w:type="spellStart"/>
            <w:r w:rsidRPr="00063DAB">
              <w:rPr>
                <w:rFonts w:ascii="Garamond Premr Pro" w:hAnsi="Garamond Premr Pro"/>
                <w:b/>
                <w:lang w:val="uk-UA"/>
              </w:rPr>
              <w:t>моб</w:t>
            </w:r>
            <w:proofErr w:type="spellEnd"/>
            <w:r w:rsidRPr="00063DAB">
              <w:rPr>
                <w:rFonts w:ascii="Garamond Premr Pro" w:hAnsi="Garamond Premr Pro"/>
                <w:b/>
                <w:lang w:val="uk-UA"/>
              </w:rPr>
              <w:t>.)</w:t>
            </w:r>
          </w:p>
        </w:tc>
        <w:tc>
          <w:tcPr>
            <w:tcW w:w="336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063DAB" w:rsidRPr="00063DAB" w:rsidRDefault="00063DAB" w:rsidP="00475A04">
            <w:pPr>
              <w:jc w:val="center"/>
              <w:rPr>
                <w:rFonts w:ascii="Garamond Premr Pro" w:hAnsi="Garamond Premr Pro"/>
                <w:iCs/>
                <w:lang w:val="uk-UA"/>
              </w:rPr>
            </w:pPr>
          </w:p>
        </w:tc>
      </w:tr>
      <w:tr w:rsidR="00063DAB" w:rsidRPr="00063DAB" w:rsidTr="00063DAB">
        <w:trPr>
          <w:trHeight w:val="295"/>
        </w:trPr>
        <w:tc>
          <w:tcPr>
            <w:tcW w:w="1632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063DAB" w:rsidRPr="00063DAB" w:rsidRDefault="00063DAB" w:rsidP="00475A04">
            <w:pPr>
              <w:jc w:val="center"/>
              <w:rPr>
                <w:rFonts w:ascii="Garamond Premr Pro" w:hAnsi="Garamond Premr Pro"/>
                <w:b/>
                <w:lang w:val="uk-UA"/>
              </w:rPr>
            </w:pPr>
            <w:r w:rsidRPr="00063DAB">
              <w:rPr>
                <w:rFonts w:ascii="Garamond Premr Pro" w:hAnsi="Garamond Premr Pro"/>
                <w:b/>
                <w:lang w:val="uk-UA"/>
              </w:rPr>
              <w:t>Примітка</w:t>
            </w:r>
          </w:p>
        </w:tc>
        <w:tc>
          <w:tcPr>
            <w:tcW w:w="336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063DAB" w:rsidRPr="00063DAB" w:rsidRDefault="00063DAB" w:rsidP="00475A04">
            <w:pPr>
              <w:jc w:val="center"/>
              <w:rPr>
                <w:rFonts w:ascii="Garamond Premr Pro" w:hAnsi="Garamond Premr Pro"/>
                <w:iCs/>
                <w:lang w:val="uk-UA"/>
              </w:rPr>
            </w:pPr>
          </w:p>
        </w:tc>
      </w:tr>
    </w:tbl>
    <w:p w:rsidR="00063DAB" w:rsidRPr="00063DAB" w:rsidRDefault="00063DAB" w:rsidP="00063DAB">
      <w:pPr>
        <w:rPr>
          <w:lang w:val="uk-UA"/>
        </w:rPr>
      </w:pPr>
    </w:p>
    <w:p w:rsidR="007520C6" w:rsidRPr="00063DAB" w:rsidRDefault="007520C6" w:rsidP="007520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20C6" w:rsidRPr="00063DAB" w:rsidRDefault="007520C6" w:rsidP="007520C6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Розглянуто та схвалено на засіданні Регіонального методичного об’єднання викладачів</w:t>
      </w:r>
      <w:r w:rsidR="00582CB1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будівельних дисциплін</w:t>
      </w:r>
      <w:r w:rsidRPr="00063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20C6" w:rsidRPr="00063DAB" w:rsidRDefault="007520C6" w:rsidP="007520C6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Протокол від _______________ 2020</w:t>
      </w:r>
    </w:p>
    <w:p w:rsidR="007520C6" w:rsidRPr="00063DAB" w:rsidRDefault="007520C6" w:rsidP="007520C6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B">
        <w:rPr>
          <w:rFonts w:ascii="Times New Roman" w:hAnsi="Times New Roman" w:cs="Times New Roman"/>
          <w:sz w:val="28"/>
          <w:szCs w:val="28"/>
          <w:lang w:val="uk-UA"/>
        </w:rPr>
        <w:t>№ _________</w:t>
      </w:r>
    </w:p>
    <w:p w:rsidR="00370DBC" w:rsidRPr="00063DAB" w:rsidRDefault="00370DBC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DAB" w:rsidRPr="00063DAB" w:rsidRDefault="00063DAB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DAB" w:rsidRPr="00063DAB" w:rsidRDefault="00063DAB" w:rsidP="00C92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3DAB" w:rsidRPr="00063DAB" w:rsidSect="0078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3838"/>
    <w:multiLevelType w:val="hybridMultilevel"/>
    <w:tmpl w:val="7DAA54DE"/>
    <w:lvl w:ilvl="0" w:tplc="D5001524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7590"/>
    <w:rsid w:val="00063DAB"/>
    <w:rsid w:val="000B2E01"/>
    <w:rsid w:val="00215F13"/>
    <w:rsid w:val="00360A22"/>
    <w:rsid w:val="00370DBC"/>
    <w:rsid w:val="004D7590"/>
    <w:rsid w:val="00520BA3"/>
    <w:rsid w:val="00582CB1"/>
    <w:rsid w:val="005A6FD4"/>
    <w:rsid w:val="005F2088"/>
    <w:rsid w:val="00606617"/>
    <w:rsid w:val="007520C6"/>
    <w:rsid w:val="00784F9D"/>
    <w:rsid w:val="008B42F2"/>
    <w:rsid w:val="008E0CB8"/>
    <w:rsid w:val="00950725"/>
    <w:rsid w:val="00A0382D"/>
    <w:rsid w:val="00A81135"/>
    <w:rsid w:val="00AE7786"/>
    <w:rsid w:val="00B552DC"/>
    <w:rsid w:val="00B80F23"/>
    <w:rsid w:val="00C5144A"/>
    <w:rsid w:val="00C922BC"/>
    <w:rsid w:val="00D54F41"/>
    <w:rsid w:val="00DD7E20"/>
    <w:rsid w:val="00E36800"/>
    <w:rsid w:val="00F04F7C"/>
    <w:rsid w:val="00F221C0"/>
    <w:rsid w:val="00F4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725"/>
    <w:pPr>
      <w:ind w:left="720"/>
      <w:contextualSpacing/>
    </w:pPr>
  </w:style>
  <w:style w:type="table" w:styleId="a4">
    <w:name w:val="Table Grid"/>
    <w:basedOn w:val="a1"/>
    <w:uiPriority w:val="59"/>
    <w:rsid w:val="008B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B42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8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725"/>
    <w:pPr>
      <w:ind w:left="720"/>
      <w:contextualSpacing/>
    </w:pPr>
  </w:style>
  <w:style w:type="table" w:styleId="a4">
    <w:name w:val="Table Grid"/>
    <w:basedOn w:val="a1"/>
    <w:uiPriority w:val="59"/>
    <w:rsid w:val="008B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B42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Owner</cp:lastModifiedBy>
  <cp:revision>3</cp:revision>
  <cp:lastPrinted>2021-04-21T06:07:00Z</cp:lastPrinted>
  <dcterms:created xsi:type="dcterms:W3CDTF">2021-04-21T06:08:00Z</dcterms:created>
  <dcterms:modified xsi:type="dcterms:W3CDTF">2021-04-24T15:45:00Z</dcterms:modified>
</cp:coreProperties>
</file>